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СЕЛИВАНИХИНСКИЙ СЕЛЬСКИЙ СОВЕТ ДЕПУТАТОВ                             МИНУСИНСКОГО РАЙОНА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                               с. Селиваниха                    №  -рс </w:t>
      </w:r>
    </w:p>
    <w:p>
      <w:pPr>
        <w:pStyle w:val="NormalWeb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>
      <w:pPr>
        <w:pStyle w:val="Normal"/>
        <w:rPr/>
      </w:pPr>
      <w:r>
        <w:rPr>
          <w:b/>
          <w:sz w:val="28"/>
          <w:szCs w:val="28"/>
        </w:rPr>
        <w:t xml:space="preserve">«О бюджете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сельсовета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2022 год и плановый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годов»</w:t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сельсовета на 2022 год и плановый период 2023 - 2024 годов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2022 год: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 xml:space="preserve">1.1. прогнозируемый общий объем доходов бюджета сельсовета в сумме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15048333,00</w:t>
      </w:r>
      <w:r>
        <w:rPr>
          <w:sz w:val="28"/>
          <w:szCs w:val="28"/>
        </w:rPr>
        <w:t xml:space="preserve"> рублей;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 xml:space="preserve">1.2. общий объем расходов  бюджета сельсовета в сумме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15148333,00</w:t>
      </w:r>
      <w:r>
        <w:rPr>
          <w:sz w:val="28"/>
          <w:szCs w:val="28"/>
        </w:rPr>
        <w:t xml:space="preserve"> рублей;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>1.3. дефицит бюджета сельсовета  в сумме 100000,00 рублей;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 источники внутреннего финансирования дефицита бюджета сельсовета в сумме 100000,00 рублей согласно приложению 1 к настоящему Решению.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Утвердить основные характеристики бюджета сельсовета на 2023 год и на 2024 год: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>2.1. прогнозируемый общий объем доходов бюджета сельсовета на 2023 год в сумме 15027185,00 рублей и на 2024 год в сумме 14875658,00 рублей;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>2.2.   общий объем расходов бюджета сельсовета на 2023 год в сумме     15027185,00 рублей, в том числе условно утвержденные расходы в сумме 364696,00 рублей, и на 2024 год в сумме 14875658,00 рублей, в том числе условно утвержденные расходы в сумме 742673,00 рублей;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2.3. дефицит бюджета сельсовета на 2023 год в сумме 0,00 рублей и на 2024 год в сумме 0,00 рублей;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2.4. источники внутреннего финансирования дефицита бюджета сельсовета на 2023 год в сумме 0,00 рублей и на 2024 год в сумме 0,00 рублей согласно приложению 1 к настоящему Решению.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2. Доходы бюджета сельсовета на 2022 год и плановый период 2023 - 2024 годов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доходы бюджета сельсовета на 2022 год и плановый период 2023 - 2024 годов, согласно приложению 2 к настоящему Решению.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3. Распределение на 2022 год и плановый период 2023 – 2024 годов расходов бюджета сельсовета по бюджетной классификации Российской Федерации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1. распределение бюджетных ассигнований по разделам </w:t>
        <w:br/>
        <w:t>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ведомственную структуру расходов бюджета сельсовета на 2022 год и плановый период 2023-2024 годов согласно приложению 4 к настоящему Решению;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>3.</w:t>
      </w:r>
      <w:r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 согласно приложению </w:t>
      </w: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 Публичные нормативные обязательства Большеничкинского сельсовета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 xml:space="preserve"> Утвердить общий объем средств  бюджета сельсовета на исполнение публичных нормативных обязательств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  на 2022 год  и плановый период 2023-2024 годов по 0  рублей ежегодно.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  Изменение показателей сводной бюджетной росписи бюджета сельсовета в 2022 году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2022 год и плановый период 2023-2024 с последующим внесением изменений в настоящее Решение:</w:t>
        <w:tab/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 сокращения (возврата при отсутствии потребности) указанных межбюджетных трансфертов;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 xml:space="preserve">2.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сельсовета, после внесения изменений в указанную программу в установленном порядке;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.  Индексация размеров денежного вознаграждения лиц, замещающих муниципальные должности, и окладов денежного содержания муниципальных служащих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сельсовета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сельсовета, размеры окладов денежного содержания по должностям муниципальной службы, проиндексированные в 2020 году, увеличиваются (индексируются):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4 процента с октября 2022 года;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2023 – 2024 годов на коэффициент, равный 1.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sz w:val="28"/>
          <w:szCs w:val="28"/>
        </w:rPr>
        <w:t xml:space="preserve">Статья 7.  Общая предельная штатная численность муниципальных служащих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Селиванихинского </w:t>
      </w:r>
      <w:r>
        <w:rPr>
          <w:b/>
          <w:sz w:val="28"/>
          <w:szCs w:val="28"/>
        </w:rPr>
        <w:t>сельсовета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Общая предельная штатная численность муниципальных служащих сельсовета, принятая к финансовому обеспечению в 2022 году и плановом периоде 2023-2024 годов, составляет 5 штатных единиц.</w:t>
      </w:r>
    </w:p>
    <w:p>
      <w:pPr>
        <w:pStyle w:val="Normal"/>
        <w:tabs>
          <w:tab w:val="clear" w:pos="708"/>
          <w:tab w:val="left" w:pos="8600" w:leader="none"/>
        </w:tabs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600" w:leader="none"/>
        </w:tabs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8.  Индексация заработной платы работников органов местного самоуправления</w:t>
      </w:r>
    </w:p>
    <w:p>
      <w:pPr>
        <w:pStyle w:val="Normal"/>
        <w:tabs>
          <w:tab w:val="clear" w:pos="708"/>
          <w:tab w:val="left" w:pos="8600" w:leader="none"/>
        </w:tabs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60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на 4 процента с 1 октября 2022 года;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2023</w:t>
      </w:r>
      <w:r>
        <w:rPr>
          <w:rFonts w:cs="Arial" w:ascii="Arial" w:hAnsi="Arial"/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rFonts w:cs="Arial" w:ascii="Arial" w:hAnsi="Arial"/>
          <w:sz w:val="28"/>
          <w:szCs w:val="28"/>
        </w:rPr>
        <w:t> </w:t>
      </w:r>
      <w:r>
        <w:rPr>
          <w:sz w:val="28"/>
          <w:szCs w:val="28"/>
        </w:rPr>
        <w:t>2024 годов на коэффициент, равный 1.</w:t>
      </w:r>
    </w:p>
    <w:p>
      <w:pPr>
        <w:pStyle w:val="Normal"/>
        <w:tabs>
          <w:tab w:val="clear" w:pos="708"/>
          <w:tab w:val="left" w:pos="860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9. Особенности исполнения  бюджета сельсовета в 2022 году</w:t>
      </w:r>
      <w:r>
        <w:rPr>
          <w:sz w:val="28"/>
          <w:szCs w:val="28"/>
        </w:rPr>
        <w:tab/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Установить, что не использованные по состоянию на 1 января 2022 года остатки межбюджетных трансфертов в форме субсидий, субвенций, иных межбюджетных трансфертов, имеющих целевое назначение, предоставленных из районного бюджета бюджету сельсовета, подлежат возврату в районный бюджет в течение первых 5 рабочих дней 2022 года.</w:t>
      </w:r>
    </w:p>
    <w:p>
      <w:pPr>
        <w:pStyle w:val="ConsPlusNormal"/>
        <w:numPr>
          <w:ilvl w:val="0"/>
          <w:numId w:val="0"/>
        </w:numPr>
        <w:spacing w:before="0" w:after="0"/>
        <w:ind w:hanging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Остатки средств  бюджета сельсовета  на 1 января 2022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году.</w:t>
      </w:r>
    </w:p>
    <w:p>
      <w:pPr>
        <w:pStyle w:val="ConsPlusNormal"/>
        <w:numPr>
          <w:ilvl w:val="0"/>
          <w:numId w:val="0"/>
        </w:numPr>
        <w:spacing w:before="0" w:after="0"/>
        <w:ind w:hanging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за счет утвержденных бюджетных ассигнований </w:t>
        <w:br/>
        <w:t>на 2022 год.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Иные межбюджетные трансферты  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2022 -2024 годы  по 1101062,00 рублей ежегодно.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  <w:tab/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b/>
          <w:sz w:val="28"/>
          <w:szCs w:val="28"/>
        </w:rPr>
        <w:t xml:space="preserve">Статья 11. Резервный фонд администрации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сельсовета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 xml:space="preserve">1. Установить, что в расходной части бюджета сельсовета предусматривается резервный фонд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сумме 50000,00 рублей, на 2023 год -  50000,00 рублей, на 2024 год – 50000,00 рублей. 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sz w:val="28"/>
          <w:szCs w:val="28"/>
        </w:rPr>
        <w:tab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ежеквартально информирует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Селиванихинский </w:t>
      </w:r>
      <w:r>
        <w:rPr>
          <w:sz w:val="28"/>
          <w:szCs w:val="28"/>
        </w:rPr>
        <w:t>сельский Совет депутатов о расходовании средств резервного фонда.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 Расходование средств резервного фонда осуществляется в порядке, установленном администрацией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Селиванихинского </w:t>
      </w:r>
      <w:r>
        <w:rPr>
          <w:sz w:val="28"/>
          <w:szCs w:val="28"/>
        </w:rPr>
        <w:t>сельсовета.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/>
      </w:pPr>
      <w:r>
        <w:rPr>
          <w:b/>
          <w:sz w:val="28"/>
          <w:szCs w:val="28"/>
        </w:rPr>
        <w:t xml:space="preserve">Статья 12. Дорожный фонд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сельсовета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080" w:leader="none"/>
        </w:tabs>
        <w:spacing w:before="0" w:after="0"/>
        <w:ind w:left="0" w:firstLine="720"/>
        <w:contextualSpacing/>
        <w:jc w:val="both"/>
        <w:outlineLvl w:val="2"/>
        <w:rPr/>
      </w:pPr>
      <w:r>
        <w:rPr>
          <w:sz w:val="28"/>
          <w:szCs w:val="28"/>
        </w:rPr>
        <w:t xml:space="preserve">Утвердить объем бюджетных ассигнований дорожного фонда </w:t>
      </w:r>
      <w:bookmarkStart w:id="0" w:name="__DdeLink__187_3877507050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</w:t>
      </w:r>
      <w:r>
        <w:rPr>
          <w:sz w:val="28"/>
          <w:szCs w:val="28"/>
        </w:rPr>
        <w:t>о</w:t>
      </w:r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2022 год в сумме 736100,00 рублей, на 2023 год 753600,00 рублей и на 2024 год 774100,00 рублей.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080" w:leader="none"/>
        </w:tabs>
        <w:spacing w:before="0" w:after="0"/>
        <w:ind w:left="0" w:firstLine="720"/>
        <w:contextualSpacing/>
        <w:jc w:val="both"/>
        <w:outlineLvl w:val="2"/>
        <w:rPr/>
      </w:pPr>
      <w:r>
        <w:rPr>
          <w:sz w:val="28"/>
          <w:szCs w:val="28"/>
        </w:rPr>
        <w:t xml:space="preserve">Установить, что при определении объема бюджетных ассигнований дорожного фонда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</w:t>
      </w:r>
      <w:r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 налог на доходы физических лиц, подлежащий зачислению в местный бюджет, учитывается в 2022 году в сумме 0,00 рублей, в 2023 году - 0,00 рублей, в 2024 году – 0,00 рублей.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Муниципальный внутренний долг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 xml:space="preserve">1. Установить верхний предел муниципального внутреннего долга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Селиванихинского </w:t>
      </w:r>
      <w:r>
        <w:rPr>
          <w:sz w:val="28"/>
          <w:szCs w:val="28"/>
        </w:rPr>
        <w:t xml:space="preserve">сельсовета на 1 января 2023 года, на 1 января 2024 года и на 1 января 2025 года равным 0 рублей.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верхний предел муниципального внутреннего долга по муниципальным гарантиям по состоянию на 1 января 2023 года, на 1 января 2024 года, на 1 января 2025 года равным 0 рублей.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 xml:space="preserve">3. Установить предельный объем муниципального внутреннего долга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размере 6636826,00 рублей; на 2023 год 6750471,00 рублей; на 2024 год 6892599,00  рублей.    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предельный объем расходов на обслуживание муниципального внутреннего долга в 2022 году не должен превышать 0 рублей, в 2023 году – 0 рублей, в 2024 году – 0 рублей. </w:t>
        <w:tab/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 xml:space="preserve">5. Утвердить программу муниципальных внутренних заимствований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Селиванихинского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2022 и плановый период 2023-2024 годов согласно приложению 7 к настоящему Решению.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Настоящее Решение вступает в силу с 1 января 2022 года, но не ранее дня, следующего за днем его официального опубликования в информационном бюллетени «Вестник Селиванихинского сельсовета».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bookmarkStart w:id="1" w:name="RANGE!A1%25253AF20"/>
      <w:bookmarkEnd w:id="1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Жилин В.Д.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0" w:leader="none"/>
          <w:tab w:val="center" w:pos="52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Аксенов Н.Т.</w:t>
      </w:r>
      <w:r>
        <w:rPr>
          <w:sz w:val="28"/>
          <w:szCs w:val="28"/>
        </w:rPr>
        <w:tab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36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63535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480b40"/>
    <w:pPr>
      <w:spacing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styleId="DefaultParagraphFont" w:default="1">
    <w:name w:val="Default Paragraph Font"/>
    <w:semiHidden/>
    <w:qFormat/>
    <w:rPr/>
  </w:style>
  <w:style w:type="character" w:styleId="Strong">
    <w:name w:val="Strong"/>
    <w:qFormat/>
    <w:rsid w:val="00480b40"/>
    <w:rPr>
      <w:b/>
      <w:bCs/>
    </w:rPr>
  </w:style>
  <w:style w:type="character" w:styleId="Style11" w:customStyle="1">
    <w:name w:val="Текст выноски Знак"/>
    <w:link w:val="a6"/>
    <w:qFormat/>
    <w:rsid w:val="00230235"/>
    <w:rPr>
      <w:rFonts w:ascii="Tahoma" w:hAnsi="Tahoma" w:cs="Tahoma"/>
      <w:sz w:val="16"/>
      <w:szCs w:val="16"/>
    </w:rPr>
  </w:style>
  <w:style w:type="character" w:styleId="Annotationreference">
    <w:name w:val="annotation reference"/>
    <w:semiHidden/>
    <w:qFormat/>
    <w:rsid w:val="00e946a9"/>
    <w:rPr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rsid w:val="0076048a"/>
    <w:pPr>
      <w:jc w:val="both"/>
    </w:pPr>
    <w:rPr>
      <w:sz w:val="28"/>
      <w:szCs w:val="20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480b40"/>
    <w:pPr>
      <w:spacing w:before="0" w:after="150"/>
    </w:pPr>
    <w:rPr/>
  </w:style>
  <w:style w:type="paragraph" w:styleId="BalloonText">
    <w:name w:val="Balloon Text"/>
    <w:basedOn w:val="Normal"/>
    <w:link w:val="a7"/>
    <w:qFormat/>
    <w:rsid w:val="00230235"/>
    <w:pPr/>
    <w:rPr>
      <w:rFonts w:ascii="Tahoma" w:hAnsi="Tahoma"/>
      <w:sz w:val="16"/>
      <w:szCs w:val="16"/>
      <w:lang w:val="x-none" w:eastAsia="x-none"/>
    </w:rPr>
  </w:style>
  <w:style w:type="paragraph" w:styleId="ConsPlusNormal" w:customStyle="1">
    <w:name w:val="ConsPlusNormal"/>
    <w:qFormat/>
    <w:rsid w:val="00b239d2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semiHidden/>
    <w:qFormat/>
    <w:rsid w:val="00e946a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e946a9"/>
    <w:pPr/>
    <w:rPr>
      <w:b/>
      <w:bCs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 LibreOffice_project/2412653d852ce75f65fbfa83fb7e7b669a126d64</Application>
  <Pages>5</Pages>
  <Words>1338</Words>
  <Characters>8950</Characters>
  <CharactersWithSpaces>10580</CharactersWithSpaces>
  <Paragraphs>73</Paragraphs>
  <Company>ФЭУ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2021-11-03T01:52:00Z</dcterms:created>
  <dc:creator>ChernishevaT</dc:creator>
  <dc:description/>
  <dc:language>ru-RU</dc:language>
  <cp:lastModifiedBy/>
  <cp:lastPrinted>2018-11-06T07:38:00Z</cp:lastPrinted>
  <dcterms:modified xsi:type="dcterms:W3CDTF">2021-12-07T09:26:20Z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ФЭУ АМР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